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55" w:rsidRDefault="004E7255" w:rsidP="004E7255">
      <w:pPr>
        <w:autoSpaceDE w:val="0"/>
        <w:autoSpaceDN w:val="0"/>
        <w:adjustRightInd w:val="0"/>
        <w:jc w:val="left"/>
        <w:rPr>
          <w:sz w:val="20"/>
          <w:szCs w:val="20"/>
        </w:rPr>
      </w:pPr>
      <w:bookmarkStart w:id="0" w:name="_GoBack"/>
      <w:bookmarkEnd w:id="0"/>
      <w:r>
        <w:rPr>
          <w:rFonts w:hint="eastAsia"/>
        </w:rPr>
        <w:t>様式第</w:t>
      </w:r>
      <w:r>
        <w:t>6</w:t>
      </w:r>
      <w:r>
        <w:rPr>
          <w:rFonts w:hint="eastAsia"/>
        </w:rPr>
        <w:t>号</w:t>
      </w:r>
      <w:r>
        <w:t>(</w:t>
      </w:r>
      <w:r>
        <w:rPr>
          <w:rFonts w:hint="eastAsia"/>
        </w:rPr>
        <w:t>第</w:t>
      </w:r>
      <w:r>
        <w:t>8</w:t>
      </w:r>
      <w:r>
        <w:rPr>
          <w:rFonts w:hint="eastAsia"/>
        </w:rPr>
        <w:t>条関係</w:t>
      </w:r>
      <w:r>
        <w:t>)</w:t>
      </w:r>
    </w:p>
    <w:p w:rsidR="004E7255" w:rsidRDefault="004E7255">
      <w:pPr>
        <w:autoSpaceDE w:val="0"/>
        <w:autoSpaceDN w:val="0"/>
        <w:adjustRightInd w:val="0"/>
        <w:jc w:val="center"/>
        <w:rPr>
          <w:sz w:val="20"/>
          <w:szCs w:val="20"/>
        </w:rPr>
      </w:pPr>
      <w:r>
        <w:rPr>
          <w:rFonts w:hint="eastAsia"/>
        </w:rPr>
        <w:t>農業経営基盤強化資金等利子補給費請求明細書</w:t>
      </w:r>
    </w:p>
    <w:p w:rsidR="004E7255" w:rsidRDefault="004E7255">
      <w:pPr>
        <w:autoSpaceDE w:val="0"/>
        <w:autoSpaceDN w:val="0"/>
        <w:adjustRightInd w:val="0"/>
        <w:jc w:val="left"/>
        <w:rPr>
          <w:sz w:val="20"/>
          <w:szCs w:val="20"/>
        </w:rPr>
      </w:pPr>
      <w:r>
        <w:rPr>
          <w:rFonts w:hint="eastAsia"/>
        </w:rPr>
        <w:t xml:space="preserve">　</w:t>
      </w:r>
      <w:r>
        <w:t>(</w:t>
      </w:r>
      <w:r>
        <w:rPr>
          <w:rFonts w:hint="eastAsia"/>
        </w:rPr>
        <w:t>金融機関名</w:t>
      </w:r>
      <w:r>
        <w:t>)</w:t>
      </w:r>
    </w:p>
    <w:p w:rsidR="004E7255" w:rsidRDefault="004E7255">
      <w:pPr>
        <w:autoSpaceDE w:val="0"/>
        <w:autoSpaceDN w:val="0"/>
        <w:adjustRightInd w:val="0"/>
        <w:jc w:val="left"/>
        <w:rPr>
          <w:sz w:val="20"/>
          <w:szCs w:val="20"/>
        </w:rPr>
      </w:pPr>
      <w:r>
        <w:rPr>
          <w:rFonts w:hint="eastAsia"/>
        </w:rPr>
        <w:t xml:space="preserve">　実質金利水準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997"/>
        <w:gridCol w:w="854"/>
        <w:gridCol w:w="1139"/>
        <w:gridCol w:w="998"/>
        <w:gridCol w:w="854"/>
        <w:gridCol w:w="712"/>
        <w:gridCol w:w="712"/>
        <w:gridCol w:w="712"/>
        <w:gridCol w:w="712"/>
        <w:gridCol w:w="757"/>
        <w:gridCol w:w="807"/>
      </w:tblGrid>
      <w:tr w:rsidR="004E7255" w:rsidTr="00B10CAC">
        <w:tblPrEx>
          <w:tblCellMar>
            <w:top w:w="0" w:type="dxa"/>
            <w:bottom w:w="0" w:type="dxa"/>
          </w:tblCellMar>
        </w:tblPrEx>
        <w:trPr>
          <w:trHeight w:val="1565"/>
        </w:trPr>
        <w:tc>
          <w:tcPr>
            <w:tcW w:w="428" w:type="dxa"/>
            <w:vMerge w:val="restart"/>
          </w:tcPr>
          <w:p w:rsidR="004E7255" w:rsidRDefault="004E7255">
            <w:pPr>
              <w:autoSpaceDE w:val="0"/>
              <w:autoSpaceDN w:val="0"/>
              <w:adjustRightInd w:val="0"/>
              <w:rPr>
                <w:sz w:val="20"/>
                <w:szCs w:val="20"/>
              </w:rPr>
            </w:pPr>
            <w:r>
              <w:rPr>
                <w:rFonts w:hint="eastAsia"/>
                <w:sz w:val="19"/>
                <w:szCs w:val="19"/>
              </w:rPr>
              <w:t>番号</w:t>
            </w:r>
          </w:p>
        </w:tc>
        <w:tc>
          <w:tcPr>
            <w:tcW w:w="997" w:type="dxa"/>
            <w:vMerge w:val="restart"/>
          </w:tcPr>
          <w:p w:rsidR="004E7255" w:rsidRDefault="004E7255">
            <w:pPr>
              <w:autoSpaceDE w:val="0"/>
              <w:autoSpaceDN w:val="0"/>
              <w:adjustRightInd w:val="0"/>
              <w:rPr>
                <w:sz w:val="20"/>
                <w:szCs w:val="20"/>
              </w:rPr>
            </w:pPr>
            <w:r>
              <w:rPr>
                <w:rFonts w:hint="eastAsia"/>
                <w:sz w:val="19"/>
                <w:szCs w:val="19"/>
              </w:rPr>
              <w:t>氏名</w:t>
            </w:r>
          </w:p>
        </w:tc>
        <w:tc>
          <w:tcPr>
            <w:tcW w:w="854" w:type="dxa"/>
            <w:vMerge w:val="restart"/>
          </w:tcPr>
          <w:p w:rsidR="004E7255" w:rsidRDefault="004E7255">
            <w:pPr>
              <w:autoSpaceDE w:val="0"/>
              <w:autoSpaceDN w:val="0"/>
              <w:adjustRightInd w:val="0"/>
              <w:rPr>
                <w:sz w:val="20"/>
                <w:szCs w:val="20"/>
              </w:rPr>
            </w:pPr>
            <w:r>
              <w:rPr>
                <w:rFonts w:hint="eastAsia"/>
                <w:sz w:val="19"/>
                <w:szCs w:val="19"/>
              </w:rPr>
              <w:t>貸付実行日</w:t>
            </w:r>
          </w:p>
        </w:tc>
        <w:tc>
          <w:tcPr>
            <w:tcW w:w="1139" w:type="dxa"/>
          </w:tcPr>
          <w:p w:rsidR="004E7255" w:rsidRDefault="004E7255">
            <w:pPr>
              <w:autoSpaceDE w:val="0"/>
              <w:autoSpaceDN w:val="0"/>
              <w:adjustRightInd w:val="0"/>
              <w:jc w:val="center"/>
              <w:rPr>
                <w:sz w:val="19"/>
                <w:szCs w:val="19"/>
              </w:rPr>
            </w:pPr>
            <w:r>
              <w:rPr>
                <w:rFonts w:hint="eastAsia"/>
                <w:sz w:val="19"/>
                <w:szCs w:val="19"/>
              </w:rPr>
              <w:t>期首残高</w:t>
            </w:r>
          </w:p>
          <w:p w:rsidR="004E7255" w:rsidRDefault="004E7255">
            <w:pPr>
              <w:autoSpaceDE w:val="0"/>
              <w:autoSpaceDN w:val="0"/>
              <w:adjustRightInd w:val="0"/>
              <w:jc w:val="center"/>
              <w:rPr>
                <w:sz w:val="20"/>
                <w:szCs w:val="20"/>
              </w:rPr>
            </w:pPr>
            <w:r>
              <w:rPr>
                <w:sz w:val="19"/>
                <w:szCs w:val="19"/>
              </w:rPr>
              <w:t>(</w:t>
            </w:r>
            <w:r>
              <w:rPr>
                <w:rFonts w:hint="eastAsia"/>
                <w:sz w:val="19"/>
                <w:szCs w:val="19"/>
              </w:rPr>
              <w:t>期中貸付額</w:t>
            </w:r>
            <w:r>
              <w:rPr>
                <w:sz w:val="19"/>
                <w:szCs w:val="19"/>
              </w:rPr>
              <w:t>)</w:t>
            </w:r>
          </w:p>
        </w:tc>
        <w:tc>
          <w:tcPr>
            <w:tcW w:w="998" w:type="dxa"/>
          </w:tcPr>
          <w:p w:rsidR="004E7255" w:rsidRDefault="004E7255">
            <w:pPr>
              <w:autoSpaceDE w:val="0"/>
              <w:autoSpaceDN w:val="0"/>
              <w:adjustRightInd w:val="0"/>
              <w:rPr>
                <w:sz w:val="20"/>
                <w:szCs w:val="20"/>
              </w:rPr>
            </w:pPr>
            <w:r>
              <w:rPr>
                <w:rFonts w:hint="eastAsia"/>
                <w:sz w:val="19"/>
                <w:szCs w:val="19"/>
              </w:rPr>
              <w:t>期首延滞額</w:t>
            </w:r>
          </w:p>
        </w:tc>
        <w:tc>
          <w:tcPr>
            <w:tcW w:w="854" w:type="dxa"/>
            <w:vMerge w:val="restart"/>
          </w:tcPr>
          <w:p w:rsidR="004E7255" w:rsidRDefault="004E7255">
            <w:pPr>
              <w:autoSpaceDE w:val="0"/>
              <w:autoSpaceDN w:val="0"/>
              <w:adjustRightInd w:val="0"/>
              <w:jc w:val="center"/>
              <w:rPr>
                <w:sz w:val="20"/>
                <w:szCs w:val="20"/>
              </w:rPr>
            </w:pPr>
            <w:r>
              <w:rPr>
                <w:rFonts w:hint="eastAsia"/>
                <w:sz w:val="19"/>
                <w:szCs w:val="19"/>
              </w:rPr>
              <w:t>取引日</w:t>
            </w:r>
          </w:p>
        </w:tc>
        <w:tc>
          <w:tcPr>
            <w:tcW w:w="2136" w:type="dxa"/>
            <w:gridSpan w:val="3"/>
          </w:tcPr>
          <w:p w:rsidR="004E7255" w:rsidRDefault="004E7255">
            <w:pPr>
              <w:autoSpaceDE w:val="0"/>
              <w:autoSpaceDN w:val="0"/>
              <w:adjustRightInd w:val="0"/>
              <w:jc w:val="center"/>
              <w:rPr>
                <w:sz w:val="20"/>
                <w:szCs w:val="20"/>
              </w:rPr>
            </w:pPr>
            <w:r>
              <w:rPr>
                <w:rFonts w:hint="eastAsia"/>
                <w:sz w:val="19"/>
                <w:szCs w:val="19"/>
              </w:rPr>
              <w:t>償還額</w:t>
            </w:r>
          </w:p>
        </w:tc>
        <w:tc>
          <w:tcPr>
            <w:tcW w:w="712" w:type="dxa"/>
          </w:tcPr>
          <w:p w:rsidR="004E7255" w:rsidRDefault="004E7255" w:rsidP="00B10CAC">
            <w:pPr>
              <w:autoSpaceDE w:val="0"/>
              <w:autoSpaceDN w:val="0"/>
              <w:adjustRightInd w:val="0"/>
              <w:jc w:val="center"/>
              <w:rPr>
                <w:sz w:val="20"/>
                <w:szCs w:val="20"/>
              </w:rPr>
            </w:pPr>
            <w:r>
              <w:rPr>
                <w:rFonts w:hint="eastAsia"/>
                <w:sz w:val="19"/>
                <w:szCs w:val="19"/>
              </w:rPr>
              <w:t>積数</w:t>
            </w:r>
            <w:r>
              <w:rPr>
                <w:sz w:val="19"/>
                <w:szCs w:val="19"/>
              </w:rPr>
              <w:t>A</w:t>
            </w:r>
            <w:r>
              <w:rPr>
                <w:rFonts w:hint="eastAsia"/>
                <w:sz w:val="19"/>
                <w:szCs w:val="19"/>
              </w:rPr>
              <w:t xml:space="preserve">　</w:t>
            </w:r>
          </w:p>
        </w:tc>
        <w:tc>
          <w:tcPr>
            <w:tcW w:w="757" w:type="dxa"/>
          </w:tcPr>
          <w:p w:rsidR="004E7255" w:rsidRDefault="004E7255" w:rsidP="00B10CAC">
            <w:pPr>
              <w:autoSpaceDE w:val="0"/>
              <w:autoSpaceDN w:val="0"/>
              <w:adjustRightInd w:val="0"/>
              <w:jc w:val="center"/>
              <w:rPr>
                <w:sz w:val="20"/>
                <w:szCs w:val="20"/>
              </w:rPr>
            </w:pPr>
            <w:r>
              <w:rPr>
                <w:rFonts w:hint="eastAsia"/>
                <w:sz w:val="19"/>
                <w:szCs w:val="19"/>
              </w:rPr>
              <w:t>市補給額</w:t>
            </w:r>
            <w:r>
              <w:rPr>
                <w:sz w:val="19"/>
                <w:szCs w:val="19"/>
              </w:rPr>
              <w:t>C</w:t>
            </w:r>
            <w:r>
              <w:rPr>
                <w:rFonts w:hint="eastAsia"/>
                <w:sz w:val="19"/>
                <w:szCs w:val="19"/>
              </w:rPr>
              <w:t xml:space="preserve">　</w:t>
            </w:r>
          </w:p>
        </w:tc>
        <w:tc>
          <w:tcPr>
            <w:tcW w:w="807" w:type="dxa"/>
          </w:tcPr>
          <w:p w:rsidR="004E7255" w:rsidRDefault="004E7255" w:rsidP="00B10CAC">
            <w:pPr>
              <w:autoSpaceDE w:val="0"/>
              <w:autoSpaceDN w:val="0"/>
              <w:adjustRightInd w:val="0"/>
              <w:rPr>
                <w:sz w:val="20"/>
                <w:szCs w:val="20"/>
              </w:rPr>
            </w:pPr>
            <w:r>
              <w:rPr>
                <w:rFonts w:hint="eastAsia"/>
                <w:sz w:val="19"/>
                <w:szCs w:val="19"/>
              </w:rPr>
              <w:t>市上乗せ補給額</w:t>
            </w:r>
            <w:r>
              <w:rPr>
                <w:sz w:val="19"/>
                <w:szCs w:val="19"/>
              </w:rPr>
              <w:t>E</w:t>
            </w:r>
          </w:p>
        </w:tc>
      </w:tr>
      <w:tr w:rsidR="00B10CAC" w:rsidTr="00B10CAC">
        <w:tblPrEx>
          <w:tblCellMar>
            <w:top w:w="0" w:type="dxa"/>
            <w:bottom w:w="0" w:type="dxa"/>
          </w:tblCellMar>
        </w:tblPrEx>
        <w:trPr>
          <w:trHeight w:val="1987"/>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jc w:val="center"/>
              <w:rPr>
                <w:sz w:val="20"/>
                <w:szCs w:val="20"/>
              </w:rPr>
            </w:pPr>
            <w:r>
              <w:rPr>
                <w:rFonts w:hint="eastAsia"/>
                <w:sz w:val="19"/>
                <w:szCs w:val="19"/>
              </w:rPr>
              <w:t>期末残高</w:t>
            </w:r>
          </w:p>
        </w:tc>
        <w:tc>
          <w:tcPr>
            <w:tcW w:w="998" w:type="dxa"/>
          </w:tcPr>
          <w:p w:rsidR="004E7255" w:rsidRDefault="004E7255">
            <w:pPr>
              <w:autoSpaceDE w:val="0"/>
              <w:autoSpaceDN w:val="0"/>
              <w:adjustRightInd w:val="0"/>
              <w:rPr>
                <w:sz w:val="20"/>
                <w:szCs w:val="20"/>
              </w:rPr>
            </w:pPr>
            <w:r>
              <w:rPr>
                <w:rFonts w:hint="eastAsia"/>
                <w:sz w:val="19"/>
                <w:szCs w:val="19"/>
              </w:rPr>
              <w:t>期末延滞額</w:t>
            </w:r>
          </w:p>
        </w:tc>
        <w:tc>
          <w:tcPr>
            <w:tcW w:w="854"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jc w:val="center"/>
              <w:rPr>
                <w:sz w:val="20"/>
                <w:szCs w:val="20"/>
              </w:rPr>
            </w:pPr>
            <w:r>
              <w:rPr>
                <w:rFonts w:hint="eastAsia"/>
                <w:sz w:val="19"/>
                <w:szCs w:val="19"/>
              </w:rPr>
              <w:t>約定</w:t>
            </w:r>
          </w:p>
        </w:tc>
        <w:tc>
          <w:tcPr>
            <w:tcW w:w="712" w:type="dxa"/>
          </w:tcPr>
          <w:p w:rsidR="004E7255" w:rsidRDefault="004E7255">
            <w:pPr>
              <w:autoSpaceDE w:val="0"/>
              <w:autoSpaceDN w:val="0"/>
              <w:adjustRightInd w:val="0"/>
              <w:jc w:val="center"/>
              <w:rPr>
                <w:sz w:val="20"/>
                <w:szCs w:val="20"/>
              </w:rPr>
            </w:pPr>
            <w:r>
              <w:rPr>
                <w:rFonts w:hint="eastAsia"/>
                <w:sz w:val="19"/>
                <w:szCs w:val="19"/>
              </w:rPr>
              <w:t>特例</w:t>
            </w:r>
          </w:p>
        </w:tc>
        <w:tc>
          <w:tcPr>
            <w:tcW w:w="711" w:type="dxa"/>
          </w:tcPr>
          <w:p w:rsidR="004E7255" w:rsidRDefault="004E7255">
            <w:pPr>
              <w:autoSpaceDE w:val="0"/>
              <w:autoSpaceDN w:val="0"/>
              <w:adjustRightInd w:val="0"/>
              <w:jc w:val="center"/>
              <w:rPr>
                <w:sz w:val="20"/>
                <w:szCs w:val="20"/>
              </w:rPr>
            </w:pPr>
            <w:r>
              <w:rPr>
                <w:rFonts w:hint="eastAsia"/>
                <w:sz w:val="19"/>
                <w:szCs w:val="19"/>
              </w:rPr>
              <w:t>延滞</w:t>
            </w:r>
          </w:p>
        </w:tc>
        <w:tc>
          <w:tcPr>
            <w:tcW w:w="712" w:type="dxa"/>
          </w:tcPr>
          <w:p w:rsidR="004E7255" w:rsidRDefault="004E7255">
            <w:pPr>
              <w:autoSpaceDE w:val="0"/>
              <w:autoSpaceDN w:val="0"/>
              <w:adjustRightInd w:val="0"/>
              <w:jc w:val="center"/>
              <w:rPr>
                <w:sz w:val="19"/>
                <w:szCs w:val="19"/>
              </w:rPr>
            </w:pPr>
            <w:r>
              <w:rPr>
                <w:rFonts w:hint="eastAsia"/>
                <w:sz w:val="19"/>
                <w:szCs w:val="19"/>
              </w:rPr>
              <w:t>融資平均</w:t>
            </w:r>
          </w:p>
          <w:p w:rsidR="004E7255" w:rsidRDefault="004E7255">
            <w:pPr>
              <w:autoSpaceDE w:val="0"/>
              <w:autoSpaceDN w:val="0"/>
              <w:adjustRightInd w:val="0"/>
              <w:jc w:val="center"/>
              <w:rPr>
                <w:sz w:val="20"/>
                <w:szCs w:val="20"/>
              </w:rPr>
            </w:pPr>
            <w:r>
              <w:rPr>
                <w:sz w:val="19"/>
                <w:szCs w:val="19"/>
              </w:rPr>
              <w:t>A</w:t>
            </w:r>
            <w:r>
              <w:rPr>
                <w:rFonts w:hint="eastAsia"/>
                <w:sz w:val="19"/>
                <w:szCs w:val="19"/>
              </w:rPr>
              <w:t>÷</w:t>
            </w:r>
            <w:r>
              <w:rPr>
                <w:sz w:val="19"/>
                <w:szCs w:val="19"/>
              </w:rPr>
              <w:t>365</w:t>
            </w:r>
            <w:r>
              <w:rPr>
                <w:rFonts w:hint="eastAsia"/>
                <w:sz w:val="19"/>
                <w:szCs w:val="19"/>
              </w:rPr>
              <w:t xml:space="preserve">　</w:t>
            </w:r>
            <w:r>
              <w:rPr>
                <w:sz w:val="19"/>
                <w:szCs w:val="19"/>
              </w:rPr>
              <w:t>B</w:t>
            </w:r>
          </w:p>
        </w:tc>
        <w:tc>
          <w:tcPr>
            <w:tcW w:w="757" w:type="dxa"/>
          </w:tcPr>
          <w:p w:rsidR="004E7255" w:rsidRDefault="004E7255" w:rsidP="00B10CAC">
            <w:pPr>
              <w:autoSpaceDE w:val="0"/>
              <w:autoSpaceDN w:val="0"/>
              <w:adjustRightInd w:val="0"/>
              <w:jc w:val="center"/>
              <w:rPr>
                <w:sz w:val="20"/>
                <w:szCs w:val="20"/>
              </w:rPr>
            </w:pPr>
            <w:r>
              <w:rPr>
                <w:rFonts w:hint="eastAsia"/>
                <w:sz w:val="19"/>
                <w:szCs w:val="19"/>
              </w:rPr>
              <w:t>県負担額</w:t>
            </w:r>
            <w:r>
              <w:rPr>
                <w:sz w:val="19"/>
                <w:szCs w:val="19"/>
              </w:rPr>
              <w:t>D</w:t>
            </w:r>
            <w:r>
              <w:rPr>
                <w:rFonts w:hint="eastAsia"/>
                <w:sz w:val="19"/>
                <w:szCs w:val="19"/>
              </w:rPr>
              <w:t xml:space="preserve">　</w:t>
            </w:r>
          </w:p>
        </w:tc>
        <w:tc>
          <w:tcPr>
            <w:tcW w:w="807" w:type="dxa"/>
          </w:tcPr>
          <w:p w:rsidR="004E7255" w:rsidRDefault="004E7255" w:rsidP="00B10CAC">
            <w:pPr>
              <w:autoSpaceDE w:val="0"/>
              <w:autoSpaceDN w:val="0"/>
              <w:adjustRightInd w:val="0"/>
              <w:rPr>
                <w:sz w:val="20"/>
                <w:szCs w:val="20"/>
              </w:rPr>
            </w:pPr>
            <w:r>
              <w:rPr>
                <w:rFonts w:hint="eastAsia"/>
                <w:sz w:val="19"/>
                <w:szCs w:val="19"/>
              </w:rPr>
              <w:t>県上乗せ補給額</w:t>
            </w:r>
            <w:r>
              <w:rPr>
                <w:sz w:val="19"/>
                <w:szCs w:val="19"/>
              </w:rPr>
              <w:t>F</w:t>
            </w:r>
          </w:p>
        </w:tc>
      </w:tr>
      <w:tr w:rsidR="00B10CAC" w:rsidTr="00B10CAC">
        <w:tblPrEx>
          <w:tblCellMar>
            <w:top w:w="0" w:type="dxa"/>
            <w:bottom w:w="0" w:type="dxa"/>
          </w:tblCellMar>
        </w:tblPrEx>
        <w:trPr>
          <w:trHeight w:val="391"/>
        </w:trPr>
        <w:tc>
          <w:tcPr>
            <w:tcW w:w="428"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997"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1"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406"/>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1"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91"/>
        </w:trPr>
        <w:tc>
          <w:tcPr>
            <w:tcW w:w="428"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997"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1"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91"/>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1"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91"/>
        </w:trPr>
        <w:tc>
          <w:tcPr>
            <w:tcW w:w="428"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997"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1"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406"/>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1"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91"/>
        </w:trPr>
        <w:tc>
          <w:tcPr>
            <w:tcW w:w="428"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997"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1"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406"/>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1"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76"/>
        </w:trPr>
        <w:tc>
          <w:tcPr>
            <w:tcW w:w="428"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997"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1" w:type="dxa"/>
            <w:vMerge w:val="restart"/>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406"/>
        </w:trPr>
        <w:tc>
          <w:tcPr>
            <w:tcW w:w="428" w:type="dxa"/>
            <w:vMerge/>
          </w:tcPr>
          <w:p w:rsidR="004E7255" w:rsidRDefault="004E7255">
            <w:pPr>
              <w:spacing w:line="240" w:lineRule="exact"/>
              <w:rPr>
                <w:sz w:val="20"/>
                <w:szCs w:val="20"/>
              </w:rPr>
            </w:pPr>
          </w:p>
        </w:tc>
        <w:tc>
          <w:tcPr>
            <w:tcW w:w="997" w:type="dxa"/>
            <w:vMerge/>
          </w:tcPr>
          <w:p w:rsidR="004E7255" w:rsidRDefault="004E7255">
            <w:pPr>
              <w:spacing w:line="240" w:lineRule="exact"/>
              <w:rPr>
                <w:sz w:val="20"/>
                <w:szCs w:val="20"/>
              </w:rPr>
            </w:pPr>
          </w:p>
        </w:tc>
        <w:tc>
          <w:tcPr>
            <w:tcW w:w="854" w:type="dxa"/>
            <w:vMerge/>
          </w:tcPr>
          <w:p w:rsidR="004E7255" w:rsidRDefault="004E7255">
            <w:pPr>
              <w:spacing w:line="240" w:lineRule="exact"/>
              <w:rPr>
                <w:sz w:val="20"/>
                <w:szCs w:val="20"/>
              </w:rPr>
            </w:pP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2" w:type="dxa"/>
            <w:vMerge/>
          </w:tcPr>
          <w:p w:rsidR="004E7255" w:rsidRDefault="004E7255">
            <w:pPr>
              <w:spacing w:line="240" w:lineRule="exact"/>
              <w:rPr>
                <w:sz w:val="20"/>
                <w:szCs w:val="20"/>
              </w:rPr>
            </w:pPr>
          </w:p>
        </w:tc>
        <w:tc>
          <w:tcPr>
            <w:tcW w:w="711" w:type="dxa"/>
            <w:vMerge/>
          </w:tcPr>
          <w:p w:rsidR="004E7255" w:rsidRDefault="004E7255">
            <w:pPr>
              <w:spacing w:line="240" w:lineRule="exact"/>
              <w:rPr>
                <w:sz w:val="20"/>
                <w:szCs w:val="20"/>
              </w:rPr>
            </w:pP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B10CAC" w:rsidTr="00B10CAC">
        <w:tblPrEx>
          <w:tblCellMar>
            <w:top w:w="0" w:type="dxa"/>
            <w:bottom w:w="0" w:type="dxa"/>
          </w:tblCellMar>
        </w:tblPrEx>
        <w:trPr>
          <w:trHeight w:val="391"/>
        </w:trPr>
        <w:tc>
          <w:tcPr>
            <w:tcW w:w="1425" w:type="dxa"/>
            <w:gridSpan w:val="2"/>
          </w:tcPr>
          <w:p w:rsidR="004E7255" w:rsidRDefault="004E7255">
            <w:pPr>
              <w:autoSpaceDE w:val="0"/>
              <w:autoSpaceDN w:val="0"/>
              <w:adjustRightInd w:val="0"/>
              <w:jc w:val="center"/>
              <w:rPr>
                <w:sz w:val="20"/>
                <w:szCs w:val="20"/>
              </w:rPr>
            </w:pPr>
            <w:r>
              <w:rPr>
                <w:rFonts w:hint="eastAsia"/>
                <w:sz w:val="19"/>
                <w:szCs w:val="19"/>
              </w:rPr>
              <w:t>計</w:t>
            </w:r>
          </w:p>
        </w:tc>
        <w:tc>
          <w:tcPr>
            <w:tcW w:w="854" w:type="dxa"/>
          </w:tcPr>
          <w:p w:rsidR="004E7255" w:rsidRDefault="004E7255">
            <w:pPr>
              <w:autoSpaceDE w:val="0"/>
              <w:autoSpaceDN w:val="0"/>
              <w:adjustRightInd w:val="0"/>
              <w:rPr>
                <w:sz w:val="20"/>
                <w:szCs w:val="20"/>
              </w:rPr>
            </w:pPr>
            <w:r>
              <w:rPr>
                <w:rFonts w:hint="eastAsia"/>
                <w:sz w:val="19"/>
                <w:szCs w:val="19"/>
              </w:rPr>
              <w:t xml:space="preserve">　</w:t>
            </w:r>
          </w:p>
        </w:tc>
        <w:tc>
          <w:tcPr>
            <w:tcW w:w="1139" w:type="dxa"/>
          </w:tcPr>
          <w:p w:rsidR="004E7255" w:rsidRDefault="004E7255">
            <w:pPr>
              <w:autoSpaceDE w:val="0"/>
              <w:autoSpaceDN w:val="0"/>
              <w:adjustRightInd w:val="0"/>
              <w:rPr>
                <w:sz w:val="20"/>
                <w:szCs w:val="20"/>
              </w:rPr>
            </w:pPr>
            <w:r>
              <w:rPr>
                <w:rFonts w:hint="eastAsia"/>
                <w:sz w:val="19"/>
                <w:szCs w:val="19"/>
              </w:rPr>
              <w:t xml:space="preserve">　</w:t>
            </w:r>
          </w:p>
        </w:tc>
        <w:tc>
          <w:tcPr>
            <w:tcW w:w="998" w:type="dxa"/>
          </w:tcPr>
          <w:p w:rsidR="004E7255" w:rsidRDefault="004E7255">
            <w:pPr>
              <w:autoSpaceDE w:val="0"/>
              <w:autoSpaceDN w:val="0"/>
              <w:adjustRightInd w:val="0"/>
              <w:rPr>
                <w:sz w:val="20"/>
                <w:szCs w:val="20"/>
              </w:rPr>
            </w:pPr>
            <w:r>
              <w:rPr>
                <w:rFonts w:hint="eastAsia"/>
                <w:sz w:val="19"/>
                <w:szCs w:val="19"/>
              </w:rPr>
              <w:t xml:space="preserve">　</w:t>
            </w:r>
          </w:p>
        </w:tc>
        <w:tc>
          <w:tcPr>
            <w:tcW w:w="854" w:type="dxa"/>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11" w:type="dxa"/>
          </w:tcPr>
          <w:p w:rsidR="004E7255" w:rsidRDefault="004E7255">
            <w:pPr>
              <w:autoSpaceDE w:val="0"/>
              <w:autoSpaceDN w:val="0"/>
              <w:adjustRightInd w:val="0"/>
              <w:rPr>
                <w:sz w:val="20"/>
                <w:szCs w:val="20"/>
              </w:rPr>
            </w:pPr>
            <w:r>
              <w:rPr>
                <w:rFonts w:hint="eastAsia"/>
                <w:sz w:val="19"/>
                <w:szCs w:val="19"/>
              </w:rPr>
              <w:t xml:space="preserve">　</w:t>
            </w:r>
          </w:p>
        </w:tc>
        <w:tc>
          <w:tcPr>
            <w:tcW w:w="712" w:type="dxa"/>
          </w:tcPr>
          <w:p w:rsidR="004E7255" w:rsidRDefault="004E7255">
            <w:pPr>
              <w:autoSpaceDE w:val="0"/>
              <w:autoSpaceDN w:val="0"/>
              <w:adjustRightInd w:val="0"/>
              <w:rPr>
                <w:sz w:val="20"/>
                <w:szCs w:val="20"/>
              </w:rPr>
            </w:pPr>
            <w:r>
              <w:rPr>
                <w:rFonts w:hint="eastAsia"/>
                <w:sz w:val="19"/>
                <w:szCs w:val="19"/>
              </w:rPr>
              <w:t xml:space="preserve">　</w:t>
            </w:r>
          </w:p>
        </w:tc>
        <w:tc>
          <w:tcPr>
            <w:tcW w:w="757" w:type="dxa"/>
          </w:tcPr>
          <w:p w:rsidR="004E7255" w:rsidRDefault="004E7255">
            <w:pPr>
              <w:autoSpaceDE w:val="0"/>
              <w:autoSpaceDN w:val="0"/>
              <w:adjustRightInd w:val="0"/>
              <w:rPr>
                <w:sz w:val="20"/>
                <w:szCs w:val="20"/>
              </w:rPr>
            </w:pPr>
            <w:r>
              <w:rPr>
                <w:rFonts w:hint="eastAsia"/>
                <w:sz w:val="19"/>
                <w:szCs w:val="19"/>
              </w:rPr>
              <w:t xml:space="preserve">　</w:t>
            </w:r>
          </w:p>
        </w:tc>
        <w:tc>
          <w:tcPr>
            <w:tcW w:w="807"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B10CAC">
        <w:tblPrEx>
          <w:tblCellMar>
            <w:top w:w="0" w:type="dxa"/>
            <w:bottom w:w="0" w:type="dxa"/>
          </w:tblCellMar>
        </w:tblPrEx>
        <w:trPr>
          <w:trHeight w:val="783"/>
        </w:trPr>
        <w:tc>
          <w:tcPr>
            <w:tcW w:w="8118" w:type="dxa"/>
            <w:gridSpan w:val="10"/>
          </w:tcPr>
          <w:p w:rsidR="004E7255" w:rsidRDefault="004E7255">
            <w:pPr>
              <w:autoSpaceDE w:val="0"/>
              <w:autoSpaceDN w:val="0"/>
              <w:adjustRightInd w:val="0"/>
              <w:rPr>
                <w:sz w:val="20"/>
                <w:szCs w:val="20"/>
              </w:rPr>
            </w:pPr>
            <w:r>
              <w:rPr>
                <w:rFonts w:hint="eastAsia"/>
                <w:sz w:val="19"/>
                <w:szCs w:val="19"/>
              </w:rPr>
              <w:t xml:space="preserve">　※　</w:t>
            </w:r>
            <w:r>
              <w:rPr>
                <w:sz w:val="19"/>
                <w:szCs w:val="19"/>
              </w:rPr>
              <w:t>G</w:t>
            </w:r>
            <w:r>
              <w:rPr>
                <w:rFonts w:hint="eastAsia"/>
                <w:sz w:val="19"/>
                <w:szCs w:val="19"/>
              </w:rPr>
              <w:t>欄の合計額が金融機関が市に対して申請すべき補助金申請額である。</w:t>
            </w:r>
          </w:p>
        </w:tc>
        <w:tc>
          <w:tcPr>
            <w:tcW w:w="1563" w:type="dxa"/>
            <w:gridSpan w:val="2"/>
          </w:tcPr>
          <w:p w:rsidR="004E7255" w:rsidRDefault="004E7255">
            <w:pPr>
              <w:autoSpaceDE w:val="0"/>
              <w:autoSpaceDN w:val="0"/>
              <w:adjustRightInd w:val="0"/>
              <w:jc w:val="right"/>
              <w:rPr>
                <w:sz w:val="20"/>
                <w:szCs w:val="20"/>
              </w:rPr>
            </w:pPr>
            <w:r>
              <w:rPr>
                <w:rFonts w:hint="eastAsia"/>
                <w:sz w:val="19"/>
                <w:szCs w:val="19"/>
              </w:rPr>
              <w:t xml:space="preserve">総合計　　　</w:t>
            </w:r>
            <w:r>
              <w:rPr>
                <w:sz w:val="19"/>
                <w:szCs w:val="19"/>
              </w:rPr>
              <w:t>G</w:t>
            </w:r>
            <w:r>
              <w:rPr>
                <w:rFonts w:hint="eastAsia"/>
                <w:sz w:val="19"/>
                <w:szCs w:val="19"/>
              </w:rPr>
              <w:t xml:space="preserve">　</w:t>
            </w:r>
          </w:p>
        </w:tc>
      </w:tr>
    </w:tbl>
    <w:p w:rsidR="004E7255" w:rsidRDefault="004E7255">
      <w:pPr>
        <w:rPr>
          <w:sz w:val="20"/>
          <w:szCs w:val="20"/>
        </w:rPr>
      </w:pPr>
    </w:p>
    <w:p w:rsidR="004E7255" w:rsidRDefault="004E7255">
      <w:pPr>
        <w:autoSpaceDE w:val="0"/>
        <w:autoSpaceDN w:val="0"/>
        <w:adjustRightInd w:val="0"/>
        <w:jc w:val="left"/>
        <w:rPr>
          <w:sz w:val="20"/>
          <w:szCs w:val="20"/>
        </w:rPr>
      </w:pPr>
      <w:r>
        <w:rPr>
          <w:rFonts w:hint="eastAsia"/>
        </w:rPr>
        <w:t xml:space="preserve">　※　市負担額</w:t>
      </w:r>
      <w:r>
        <w:t>(C</w:t>
      </w:r>
      <w:r>
        <w:rPr>
          <w:rFonts w:hint="eastAsia"/>
        </w:rPr>
        <w:t>欄</w:t>
      </w:r>
      <w:r>
        <w:t>)</w:t>
      </w:r>
      <w:r>
        <w:rPr>
          <w:rFonts w:hint="eastAsia"/>
        </w:rPr>
        <w:t>は、</w:t>
      </w:r>
      <w:r>
        <w:t>B</w:t>
      </w:r>
      <w:r>
        <w:rPr>
          <w:rFonts w:hint="eastAsia"/>
        </w:rPr>
        <w:t>×利子補給率とする。</w:t>
      </w:r>
    </w:p>
    <w:p w:rsidR="004E7255" w:rsidRDefault="004E7255">
      <w:pPr>
        <w:autoSpaceDE w:val="0"/>
        <w:autoSpaceDN w:val="0"/>
        <w:adjustRightInd w:val="0"/>
        <w:jc w:val="left"/>
        <w:rPr>
          <w:sz w:val="20"/>
          <w:szCs w:val="20"/>
        </w:rPr>
      </w:pPr>
      <w:r>
        <w:rPr>
          <w:rFonts w:hint="eastAsia"/>
        </w:rPr>
        <w:t xml:space="preserve">　※　実質金利水準別に別様とすること。</w:t>
      </w:r>
    </w:p>
    <w:p w:rsidR="004E7255" w:rsidRDefault="004E7255">
      <w:pPr>
        <w:autoSpaceDE w:val="0"/>
        <w:autoSpaceDN w:val="0"/>
        <w:adjustRightInd w:val="0"/>
        <w:jc w:val="left"/>
        <w:rPr>
          <w:sz w:val="20"/>
          <w:szCs w:val="20"/>
        </w:rPr>
      </w:pPr>
      <w:r>
        <w:rPr>
          <w:rFonts w:hint="eastAsia"/>
        </w:rPr>
        <w:t xml:space="preserve">　※　特例償還額は、次年度以降の償還があった場合にその額を記載すること。</w:t>
      </w:r>
    </w:p>
    <w:p w:rsidR="004E7255" w:rsidRDefault="004E7255">
      <w:pPr>
        <w:autoSpaceDE w:val="0"/>
        <w:autoSpaceDN w:val="0"/>
        <w:adjustRightInd w:val="0"/>
        <w:jc w:val="left"/>
        <w:rPr>
          <w:sz w:val="20"/>
          <w:szCs w:val="20"/>
        </w:rPr>
      </w:pPr>
      <w:r>
        <w:rPr>
          <w:rFonts w:hint="eastAsia"/>
        </w:rPr>
        <w:t xml:space="preserve">　※　取引日は、それぞれの償還がなされた日を記載すること。</w:t>
      </w:r>
    </w:p>
    <w:p w:rsidR="004E7255" w:rsidRDefault="004E7255" w:rsidP="007459C6">
      <w:pPr>
        <w:autoSpaceDE w:val="0"/>
        <w:autoSpaceDN w:val="0"/>
        <w:adjustRightInd w:val="0"/>
        <w:jc w:val="left"/>
        <w:rPr>
          <w:sz w:val="20"/>
          <w:szCs w:val="20"/>
        </w:rPr>
      </w:pPr>
    </w:p>
    <w:p w:rsidR="004E7255" w:rsidRDefault="004E7255">
      <w:pPr>
        <w:rPr>
          <w:sz w:val="20"/>
          <w:szCs w:val="20"/>
        </w:rPr>
      </w:pPr>
    </w:p>
    <w:sectPr w:rsidR="004E7255">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47" w:rsidRDefault="00E01D47" w:rsidP="004E7255">
      <w:r>
        <w:separator/>
      </w:r>
    </w:p>
  </w:endnote>
  <w:endnote w:type="continuationSeparator" w:id="0">
    <w:p w:rsidR="00E01D47" w:rsidRDefault="00E01D47" w:rsidP="004E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47" w:rsidRDefault="00E01D47" w:rsidP="004E7255">
      <w:r>
        <w:separator/>
      </w:r>
    </w:p>
  </w:footnote>
  <w:footnote w:type="continuationSeparator" w:id="0">
    <w:p w:rsidR="00E01D47" w:rsidRDefault="00E01D47" w:rsidP="004E7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5"/>
    <w:rsid w:val="00236494"/>
    <w:rsid w:val="003F5329"/>
    <w:rsid w:val="00472687"/>
    <w:rsid w:val="004E7255"/>
    <w:rsid w:val="00545B11"/>
    <w:rsid w:val="005E0642"/>
    <w:rsid w:val="006E4C78"/>
    <w:rsid w:val="007459C6"/>
    <w:rsid w:val="007C259B"/>
    <w:rsid w:val="008F4BB5"/>
    <w:rsid w:val="00B10CAC"/>
    <w:rsid w:val="00B23490"/>
    <w:rsid w:val="00B40CEC"/>
    <w:rsid w:val="00B825A8"/>
    <w:rsid w:val="00E0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40CA15"/>
  <w14:defaultImageDpi w14:val="0"/>
  <w15:docId w15:val="{962B2CAA-BEEE-4FDD-ACC0-947FF8B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255"/>
    <w:pPr>
      <w:tabs>
        <w:tab w:val="center" w:pos="4252"/>
        <w:tab w:val="right" w:pos="8504"/>
      </w:tabs>
      <w:snapToGrid w:val="0"/>
    </w:pPr>
  </w:style>
  <w:style w:type="character" w:customStyle="1" w:styleId="a4">
    <w:name w:val="ヘッダー (文字)"/>
    <w:basedOn w:val="a0"/>
    <w:link w:val="a3"/>
    <w:uiPriority w:val="99"/>
    <w:locked/>
    <w:rsid w:val="004E7255"/>
    <w:rPr>
      <w:rFonts w:ascii="Century" w:eastAsia="ＭＳ 明朝" w:hAnsi="Century" w:cs="ＭＳ 明朝"/>
      <w:sz w:val="24"/>
      <w:szCs w:val="24"/>
    </w:rPr>
  </w:style>
  <w:style w:type="paragraph" w:styleId="a5">
    <w:name w:val="footer"/>
    <w:basedOn w:val="a"/>
    <w:link w:val="a6"/>
    <w:uiPriority w:val="99"/>
    <w:unhideWhenUsed/>
    <w:rsid w:val="004E7255"/>
    <w:pPr>
      <w:tabs>
        <w:tab w:val="center" w:pos="4252"/>
        <w:tab w:val="right" w:pos="8504"/>
      </w:tabs>
      <w:snapToGrid w:val="0"/>
    </w:pPr>
  </w:style>
  <w:style w:type="character" w:customStyle="1" w:styleId="a6">
    <w:name w:val="フッター (文字)"/>
    <w:basedOn w:val="a0"/>
    <w:link w:val="a5"/>
    <w:uiPriority w:val="99"/>
    <w:locked/>
    <w:rsid w:val="004E725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2</cp:revision>
  <dcterms:created xsi:type="dcterms:W3CDTF">2020-11-13T03:55:00Z</dcterms:created>
  <dcterms:modified xsi:type="dcterms:W3CDTF">2020-11-13T03:55:00Z</dcterms:modified>
</cp:coreProperties>
</file>